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5E" w:rsidRPr="00F85C5E" w:rsidRDefault="00F85C5E" w:rsidP="00F85C5E">
      <w:pPr>
        <w:pBdr>
          <w:bottom w:val="single" w:sz="6" w:space="15" w:color="E0E4EA"/>
        </w:pBdr>
        <w:shd w:val="clear" w:color="auto" w:fill="FFFFFF"/>
        <w:spacing w:after="450" w:line="660" w:lineRule="atLeast"/>
        <w:textAlignment w:val="baseline"/>
        <w:outlineLvl w:val="0"/>
        <w:rPr>
          <w:rFonts w:ascii="open_sans_semiboldregular" w:eastAsia="Times New Roman" w:hAnsi="open_sans_semiboldregular" w:cs="Times New Roman"/>
          <w:color w:val="2F3B47"/>
          <w:kern w:val="36"/>
          <w:sz w:val="48"/>
          <w:szCs w:val="48"/>
          <w:lang w:eastAsia="cs-CZ"/>
        </w:rPr>
      </w:pPr>
      <w:r w:rsidRPr="00F85C5E">
        <w:rPr>
          <w:rFonts w:ascii="open_sans_semiboldregular" w:eastAsia="Times New Roman" w:hAnsi="open_sans_semiboldregular" w:cs="Times New Roman"/>
          <w:color w:val="2F3B47"/>
          <w:kern w:val="36"/>
          <w:sz w:val="48"/>
          <w:szCs w:val="48"/>
          <w:lang w:eastAsia="cs-CZ"/>
        </w:rPr>
        <w:t>Pojištění obecné odpovědnosti za újmu způsobenou činností trenéra či cvičitele</w:t>
      </w:r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hyperlink r:id="rId6" w:history="1">
        <w:r w:rsidRPr="00F85C5E">
          <w:rPr>
            <w:rFonts w:ascii="inherit" w:eastAsia="Times New Roman" w:hAnsi="inherit" w:cs="Times New Roman"/>
            <w:color w:val="9A090D"/>
            <w:sz w:val="24"/>
            <w:szCs w:val="24"/>
            <w:u w:val="single"/>
            <w:bdr w:val="none" w:sz="0" w:space="0" w:color="auto" w:frame="1"/>
            <w:lang w:eastAsia="cs-CZ"/>
          </w:rPr>
          <w:t>&lt;&lt;&lt; zpět na přehled pojištění</w:t>
        </w:r>
      </w:hyperlink>
    </w:p>
    <w:p w:rsidR="00F85C5E" w:rsidRPr="00F85C5E" w:rsidRDefault="00F85C5E" w:rsidP="00F85C5E">
      <w:pPr>
        <w:shd w:val="clear" w:color="auto" w:fill="FFFFFF"/>
        <w:spacing w:before="300" w:after="300" w:line="540" w:lineRule="atLeast"/>
        <w:textAlignment w:val="baseline"/>
        <w:outlineLvl w:val="1"/>
        <w:rPr>
          <w:rFonts w:ascii="open_sans_semiboldregular" w:eastAsia="Times New Roman" w:hAnsi="open_sans_semiboldregular" w:cs="Times New Roman"/>
          <w:color w:val="004993"/>
          <w:sz w:val="39"/>
          <w:szCs w:val="39"/>
          <w:lang w:eastAsia="cs-CZ"/>
        </w:rPr>
      </w:pPr>
      <w:r w:rsidRPr="00F85C5E">
        <w:rPr>
          <w:rFonts w:ascii="open_sans_semiboldregular" w:eastAsia="Times New Roman" w:hAnsi="open_sans_semiboldregular" w:cs="Times New Roman"/>
          <w:color w:val="004993"/>
          <w:sz w:val="39"/>
          <w:szCs w:val="39"/>
          <w:lang w:eastAsia="cs-CZ"/>
        </w:rPr>
        <w:t>Kdo je pojištěn</w:t>
      </w:r>
    </w:p>
    <w:p w:rsidR="00F85C5E" w:rsidRPr="00F85C5E" w:rsidRDefault="00F85C5E" w:rsidP="00F85C5E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t xml:space="preserve">Všechny sportovní svazy, organizace a instituce sdružené v Českém olympijském výboru (olympijské svazy i neolympijské subjekty, střešní organizace a jejich sdružené subjekty, včetně sportovních svazů a jejich sdružených subjektů, TJ, </w:t>
      </w:r>
      <w:proofErr w:type="gramStart"/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t>T.J.</w:t>
      </w:r>
      <w:proofErr w:type="gramEnd"/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t>)</w:t>
      </w:r>
    </w:p>
    <w:p w:rsidR="00F85C5E" w:rsidRPr="00F85C5E" w:rsidRDefault="00F85C5E" w:rsidP="00F85C5E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2F3B47"/>
          <w:sz w:val="20"/>
          <w:szCs w:val="20"/>
          <w:lang w:eastAsia="cs-CZ"/>
        </w:rPr>
      </w:pPr>
      <w:r w:rsidRPr="00F85C5E">
        <w:rPr>
          <w:rFonts w:ascii="open_sansregular" w:eastAsia="Times New Roman" w:hAnsi="open_sansregular" w:cs="Times New Roman"/>
          <w:color w:val="2F3B47"/>
          <w:sz w:val="20"/>
          <w:szCs w:val="20"/>
          <w:lang w:eastAsia="cs-CZ"/>
        </w:rPr>
        <w:br/>
      </w:r>
    </w:p>
    <w:p w:rsidR="00F85C5E" w:rsidRPr="00F85C5E" w:rsidRDefault="00F85C5E" w:rsidP="00F85C5E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t xml:space="preserve">Trenér (cvičitel), který vykonává níže de </w:t>
      </w:r>
      <w:proofErr w:type="spellStart"/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t>novanou</w:t>
      </w:r>
      <w:proofErr w:type="spellEnd"/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t xml:space="preserve"> činnost, pro kterou je sjednáno pojištění, na základě alespoň jednoho z následujících vztahů: pracovně právního vztahu (pracovní poměr, DPP, DPČ), členského vztahu nebo jako OSVČ v souladu se svým živnostenským oprávněním. Pojištění je platné také pro osobu, kterou trenér (cvičitel) použije při výkonu své činnosti.</w:t>
      </w:r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bookmarkStart w:id="0" w:name="_GoBack"/>
      <w:bookmarkEnd w:id="0"/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 xml:space="preserve">Předmětem činnosti pojištěného je činnost trenéra (cvičitele) v oblasti sportu, tělovýchovy a turistiky, kterou vykonává pro sportovní organizace (tj. tělovýchovné a tělocvičné jednoty, sportovní kluby a sportovní svazy) a pro všechny střešní sportovní organizace pod ČOV, včetně jejich jednotlivých členských organizací (např.: svazy, asociace, kluby, TJ, </w:t>
      </w:r>
      <w:proofErr w:type="gramStart"/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>T.J.</w:t>
      </w:r>
      <w:proofErr w:type="gramEnd"/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 xml:space="preserve"> a obdobné tělovýchovné subjekty).</w:t>
      </w:r>
    </w:p>
    <w:p w:rsidR="00F85C5E" w:rsidRPr="00F85C5E" w:rsidRDefault="00F85C5E" w:rsidP="00F85C5E">
      <w:pPr>
        <w:shd w:val="clear" w:color="auto" w:fill="FFFFFF"/>
        <w:spacing w:after="0" w:line="540" w:lineRule="atLeast"/>
        <w:textAlignment w:val="baseline"/>
        <w:outlineLvl w:val="1"/>
        <w:rPr>
          <w:rFonts w:ascii="open_sans_semiboldregular" w:eastAsia="Times New Roman" w:hAnsi="open_sans_semiboldregular" w:cs="Times New Roman"/>
          <w:color w:val="004993"/>
          <w:sz w:val="39"/>
          <w:szCs w:val="39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004993"/>
          <w:sz w:val="39"/>
          <w:szCs w:val="39"/>
          <w:bdr w:val="none" w:sz="0" w:space="0" w:color="auto" w:frame="1"/>
          <w:lang w:eastAsia="cs-CZ"/>
        </w:rPr>
        <w:t>Územní rozsah, limit pojistného plnění, spoluúčast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1661"/>
        <w:gridCol w:w="1421"/>
        <w:gridCol w:w="1563"/>
      </w:tblGrid>
      <w:tr w:rsidR="00F85C5E" w:rsidRPr="00F85C5E" w:rsidTr="00F85C5E">
        <w:tc>
          <w:tcPr>
            <w:tcW w:w="0" w:type="auto"/>
            <w:gridSpan w:val="4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open_sansbold" w:eastAsia="Times New Roman" w:hAnsi="open_sansbold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ROZSAH POJIŠTĚNÍ</w:t>
            </w:r>
          </w:p>
        </w:tc>
      </w:tr>
      <w:tr w:rsidR="00F85C5E" w:rsidRPr="00F85C5E" w:rsidTr="00F85C5E"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open_sansbold" w:eastAsia="Times New Roman" w:hAnsi="open_sansbold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Rozsah pojištění</w:t>
            </w:r>
          </w:p>
        </w:tc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open_sansbold" w:eastAsia="Times New Roman" w:hAnsi="open_sansbold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Limit pojistného plnění</w:t>
            </w:r>
          </w:p>
        </w:tc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open_sansbold" w:eastAsia="Times New Roman" w:hAnsi="open_sansbold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Spoluúčast</w:t>
            </w:r>
          </w:p>
        </w:tc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open_sansbold" w:eastAsia="Times New Roman" w:hAnsi="open_sansbold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Územní platnost pojištění</w:t>
            </w:r>
          </w:p>
        </w:tc>
      </w:tr>
      <w:tr w:rsidR="00F85C5E" w:rsidRPr="00F85C5E" w:rsidTr="00F85C5E"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375" w:line="3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Povinnost k náhradě újmy (újma na hmotné věci a nemajetková újma při ublížení na zdraví nebo při usmrcení vč. následných </w:t>
            </w:r>
            <w:proofErr w:type="spellStart"/>
            <w:r w:rsidRPr="00F85C5E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lastRenderedPageBreak/>
              <w:t>nančních</w:t>
            </w:r>
            <w:proofErr w:type="spellEnd"/>
            <w:r w:rsidRPr="00F85C5E"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  <w:t xml:space="preserve"> škod) – obecná odpovědnost</w:t>
            </w:r>
          </w:p>
        </w:tc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20 000 000 Kč</w:t>
            </w:r>
          </w:p>
        </w:tc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cs-CZ"/>
              </w:rPr>
              <w:t>5 000 Kč</w:t>
            </w:r>
          </w:p>
        </w:tc>
        <w:tc>
          <w:tcPr>
            <w:tcW w:w="0" w:type="auto"/>
            <w:tcBorders>
              <w:top w:val="single" w:sz="6" w:space="0" w:color="D2D8E1"/>
              <w:left w:val="single" w:sz="6" w:space="0" w:color="D2D8E1"/>
              <w:bottom w:val="single" w:sz="6" w:space="0" w:color="D2D8E1"/>
              <w:right w:val="single" w:sz="6" w:space="0" w:color="D2D8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5C5E" w:rsidRPr="00F85C5E" w:rsidRDefault="00F85C5E" w:rsidP="00F85C5E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F85C5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cs-CZ"/>
              </w:rPr>
              <w:t>Evropa</w:t>
            </w:r>
          </w:p>
        </w:tc>
      </w:tr>
    </w:tbl>
    <w:p w:rsidR="00F85C5E" w:rsidRPr="00F85C5E" w:rsidRDefault="00F85C5E" w:rsidP="00F85C5E">
      <w:pPr>
        <w:shd w:val="clear" w:color="auto" w:fill="FFFFFF"/>
        <w:spacing w:after="0" w:line="540" w:lineRule="atLeast"/>
        <w:textAlignment w:val="baseline"/>
        <w:outlineLvl w:val="1"/>
        <w:rPr>
          <w:rFonts w:ascii="open_sans_semiboldregular" w:eastAsia="Times New Roman" w:hAnsi="open_sans_semiboldregular" w:cs="Times New Roman"/>
          <w:color w:val="004993"/>
          <w:sz w:val="39"/>
          <w:szCs w:val="39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004993"/>
          <w:sz w:val="39"/>
          <w:szCs w:val="39"/>
          <w:bdr w:val="none" w:sz="0" w:space="0" w:color="auto" w:frame="1"/>
          <w:lang w:eastAsia="cs-CZ"/>
        </w:rPr>
        <w:lastRenderedPageBreak/>
        <w:t>Jak nahlásit pojistnou událost</w:t>
      </w:r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>Pojistnou událost hlásí pojištěný na níže uvedený kontakt. Abychom mohli škodu řešit, potřebujeme písemné vyjádření pojištěného a písemný nárok poškozené osoby. Potřebné podklady se mohou pro jednotlivé škody lišit. Konkrétní postup Vám sdělí kontaktní osoba pro hlášení pojistné události.</w:t>
      </w:r>
    </w:p>
    <w:p w:rsidR="00F85C5E" w:rsidRPr="00F85C5E" w:rsidRDefault="00F85C5E" w:rsidP="00F85C5E">
      <w:pPr>
        <w:shd w:val="clear" w:color="auto" w:fill="FFFFFF"/>
        <w:spacing w:after="0" w:line="390" w:lineRule="atLeast"/>
        <w:textAlignment w:val="baseline"/>
        <w:outlineLvl w:val="2"/>
        <w:rPr>
          <w:rFonts w:ascii="open_sans_semiboldregular" w:eastAsia="Times New Roman" w:hAnsi="open_sans_semiboldregular" w:cs="Times New Roman"/>
          <w:color w:val="004993"/>
          <w:sz w:val="30"/>
          <w:szCs w:val="30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004993"/>
          <w:sz w:val="30"/>
          <w:szCs w:val="30"/>
          <w:bdr w:val="none" w:sz="0" w:space="0" w:color="auto" w:frame="1"/>
          <w:lang w:eastAsia="cs-CZ"/>
        </w:rPr>
        <w:t>Kontaktní osoba pro hlášení pojistné události:</w:t>
      </w:r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>Radek Blažek 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Telefon: +420 221 421 799 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E-mail: </w:t>
      </w:r>
      <w:hyperlink r:id="rId7" w:history="1">
        <w:r w:rsidRPr="00F85C5E">
          <w:rPr>
            <w:rFonts w:ascii="inherit" w:eastAsia="Times New Roman" w:hAnsi="inherit" w:cs="Times New Roman"/>
            <w:color w:val="9A090D"/>
            <w:sz w:val="24"/>
            <w:szCs w:val="24"/>
            <w:u w:val="single"/>
            <w:bdr w:val="none" w:sz="0" w:space="0" w:color="auto" w:frame="1"/>
            <w:lang w:eastAsia="cs-CZ"/>
          </w:rPr>
          <w:t>radek.blazek@renomia.cz</w:t>
        </w:r>
      </w:hyperlink>
    </w:p>
    <w:p w:rsidR="00F85C5E" w:rsidRPr="00F85C5E" w:rsidRDefault="00F85C5E" w:rsidP="00F85C5E">
      <w:pPr>
        <w:shd w:val="clear" w:color="auto" w:fill="FFFFFF"/>
        <w:spacing w:after="0" w:line="390" w:lineRule="atLeast"/>
        <w:textAlignment w:val="baseline"/>
        <w:outlineLvl w:val="2"/>
        <w:rPr>
          <w:rFonts w:ascii="open_sans_semiboldregular" w:eastAsia="Times New Roman" w:hAnsi="open_sans_semiboldregular" w:cs="Times New Roman"/>
          <w:color w:val="004993"/>
          <w:sz w:val="30"/>
          <w:szCs w:val="30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004993"/>
          <w:sz w:val="30"/>
          <w:szCs w:val="30"/>
          <w:bdr w:val="none" w:sz="0" w:space="0" w:color="auto" w:frame="1"/>
          <w:lang w:eastAsia="cs-CZ"/>
        </w:rPr>
        <w:t>Kontaktní osoba pro Vaše případné dotazy k pojištění:</w:t>
      </w:r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>Ing. Edita Pažoutová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Telefon: +420 221 421 732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Mobil: +420 606 758 267 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E-mail: </w:t>
      </w:r>
      <w:hyperlink r:id="rId8" w:history="1">
        <w:r w:rsidRPr="00F85C5E">
          <w:rPr>
            <w:rFonts w:ascii="inherit" w:eastAsia="Times New Roman" w:hAnsi="inherit" w:cs="Times New Roman"/>
            <w:color w:val="9A090D"/>
            <w:sz w:val="24"/>
            <w:szCs w:val="24"/>
            <w:u w:val="single"/>
            <w:bdr w:val="none" w:sz="0" w:space="0" w:color="auto" w:frame="1"/>
            <w:lang w:eastAsia="cs-CZ"/>
          </w:rPr>
          <w:t>edita.pazoutova@renomia.cz</w:t>
        </w:r>
      </w:hyperlink>
    </w:p>
    <w:p w:rsidR="00F85C5E" w:rsidRPr="00F85C5E" w:rsidRDefault="00F85C5E" w:rsidP="00F85C5E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</w:pPr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 xml:space="preserve">Ing. Radomír </w:t>
      </w:r>
      <w:proofErr w:type="spellStart"/>
      <w:r w:rsidRPr="00F85C5E">
        <w:rPr>
          <w:rFonts w:ascii="open_sansbold" w:eastAsia="Times New Roman" w:hAnsi="open_sansbold" w:cs="Times New Roman"/>
          <w:b/>
          <w:bCs/>
          <w:color w:val="2F3B47"/>
          <w:sz w:val="24"/>
          <w:szCs w:val="24"/>
          <w:bdr w:val="none" w:sz="0" w:space="0" w:color="auto" w:frame="1"/>
          <w:lang w:eastAsia="cs-CZ"/>
        </w:rPr>
        <w:t>Michniak</w:t>
      </w:r>
      <w:proofErr w:type="spellEnd"/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Telefon: +420 222 390 808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Mobil: +420 731 129 403 </w:t>
      </w:r>
      <w:r w:rsidRPr="00F85C5E">
        <w:rPr>
          <w:rFonts w:ascii="inherit" w:eastAsia="Times New Roman" w:hAnsi="inherit" w:cs="Times New Roman"/>
          <w:color w:val="2F3B47"/>
          <w:sz w:val="24"/>
          <w:szCs w:val="24"/>
          <w:lang w:eastAsia="cs-CZ"/>
        </w:rPr>
        <w:br/>
        <w:t>E-mail: </w:t>
      </w:r>
      <w:hyperlink r:id="rId9" w:history="1">
        <w:r w:rsidRPr="00F85C5E">
          <w:rPr>
            <w:rFonts w:ascii="inherit" w:eastAsia="Times New Roman" w:hAnsi="inherit" w:cs="Times New Roman"/>
            <w:color w:val="9A090D"/>
            <w:sz w:val="24"/>
            <w:szCs w:val="24"/>
            <w:u w:val="single"/>
            <w:bdr w:val="none" w:sz="0" w:space="0" w:color="auto" w:frame="1"/>
            <w:lang w:eastAsia="cs-CZ"/>
          </w:rPr>
          <w:t>radomir.michniak@renomia.cz</w:t>
        </w:r>
      </w:hyperlink>
    </w:p>
    <w:p w:rsidR="00DA4B2E" w:rsidRDefault="00DA4B2E"/>
    <w:sectPr w:rsidR="00DA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_semibold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217"/>
    <w:multiLevelType w:val="multilevel"/>
    <w:tmpl w:val="B2B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F8"/>
    <w:rsid w:val="00B25EF8"/>
    <w:rsid w:val="00DA4B2E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85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C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5C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5C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C5E"/>
    <w:rPr>
      <w:color w:val="0000FF"/>
      <w:u w:val="single"/>
    </w:rPr>
  </w:style>
  <w:style w:type="paragraph" w:customStyle="1" w:styleId="center">
    <w:name w:val="center"/>
    <w:basedOn w:val="Normln"/>
    <w:rsid w:val="00F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5C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85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C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5C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5C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C5E"/>
    <w:rPr>
      <w:color w:val="0000FF"/>
      <w:u w:val="single"/>
    </w:rPr>
  </w:style>
  <w:style w:type="paragraph" w:customStyle="1" w:styleId="center">
    <w:name w:val="center"/>
    <w:basedOn w:val="Normln"/>
    <w:rsid w:val="00F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5C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pazoutova@renomi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ek.blazek@renom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.cz/text/283--pojisteni-cov-pro-sportovni-svaz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omir.michniak@renom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2019-01-31T23:33:00Z</cp:lastPrinted>
  <dcterms:created xsi:type="dcterms:W3CDTF">2019-01-31T23:32:00Z</dcterms:created>
  <dcterms:modified xsi:type="dcterms:W3CDTF">2019-01-31T23:33:00Z</dcterms:modified>
</cp:coreProperties>
</file>