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A709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5913A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FD6134">
        <w:rPr>
          <w:rFonts w:ascii="Times New Roman" w:hAnsi="Times New Roman" w:cs="Times New Roman"/>
          <w:sz w:val="24"/>
          <w:szCs w:val="24"/>
        </w:rPr>
        <w:t>1</w:t>
      </w:r>
      <w:r w:rsidR="00617F72">
        <w:rPr>
          <w:rFonts w:ascii="Times New Roman" w:hAnsi="Times New Roman" w:cs="Times New Roman"/>
          <w:sz w:val="24"/>
          <w:szCs w:val="24"/>
        </w:rPr>
        <w:t>2</w:t>
      </w:r>
      <w:r w:rsidR="009615F7">
        <w:rPr>
          <w:rFonts w:ascii="Times New Roman" w:hAnsi="Times New Roman" w:cs="Times New Roman"/>
          <w:sz w:val="24"/>
          <w:szCs w:val="24"/>
        </w:rPr>
        <w:t xml:space="preserve">. </w:t>
      </w:r>
      <w:r w:rsidR="00617F72">
        <w:rPr>
          <w:rFonts w:ascii="Times New Roman" w:hAnsi="Times New Roman" w:cs="Times New Roman"/>
          <w:sz w:val="24"/>
          <w:szCs w:val="24"/>
        </w:rPr>
        <w:t>srpna</w:t>
      </w:r>
      <w:r w:rsidR="00C713F0" w:rsidRPr="00AC44D4">
        <w:rPr>
          <w:rFonts w:ascii="Times New Roman" w:hAnsi="Times New Roman" w:cs="Times New Roman"/>
          <w:sz w:val="24"/>
          <w:szCs w:val="24"/>
        </w:rPr>
        <w:t xml:space="preserve"> 20</w:t>
      </w:r>
      <w:r w:rsidR="00FD6134">
        <w:rPr>
          <w:rFonts w:ascii="Times New Roman" w:hAnsi="Times New Roman" w:cs="Times New Roman"/>
          <w:sz w:val="24"/>
          <w:szCs w:val="24"/>
        </w:rPr>
        <w:t>20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spellStart"/>
      <w:r w:rsidR="003E64F5" w:rsidRPr="003E64F5">
        <w:rPr>
          <w:rFonts w:ascii="Times New Roman" w:hAnsi="Times New Roman" w:cs="Times New Roman"/>
          <w:sz w:val="24"/>
          <w:szCs w:val="24"/>
        </w:rPr>
        <w:t>Perr</w:t>
      </w:r>
      <w:proofErr w:type="spellEnd"/>
      <w:r w:rsidR="003E64F5" w:rsidRPr="003E64F5">
        <w:rPr>
          <w:rFonts w:ascii="Times New Roman" w:hAnsi="Times New Roman" w:cs="Times New Roman"/>
          <w:sz w:val="24"/>
          <w:szCs w:val="24"/>
        </w:rPr>
        <w:t xml:space="preserve"> rollam</w:t>
      </w:r>
    </w:p>
    <w:p w:rsidR="00930CFE" w:rsidRPr="00AC44D4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B41A3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AC44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17F72" w:rsidRDefault="00617F72" w:rsidP="00B4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F72">
        <w:rPr>
          <w:rFonts w:ascii="Times New Roman" w:hAnsi="Times New Roman" w:cs="Times New Roman"/>
          <w:b/>
          <w:sz w:val="24"/>
          <w:szCs w:val="24"/>
        </w:rPr>
        <w:t>ZD Podlesí Ročov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17F72">
        <w:rPr>
          <w:rFonts w:ascii="Times New Roman" w:hAnsi="Times New Roman" w:cs="Times New Roman"/>
          <w:sz w:val="24"/>
          <w:szCs w:val="24"/>
        </w:rPr>
        <w:t>dohoda s FK Líšťany</w:t>
      </w:r>
      <w:r>
        <w:rPr>
          <w:rFonts w:ascii="Times New Roman" w:hAnsi="Times New Roman" w:cs="Times New Roman"/>
          <w:sz w:val="24"/>
          <w:szCs w:val="24"/>
        </w:rPr>
        <w:t xml:space="preserve"> 1934 a žádost o schválení výměny hracího dne</w:t>
      </w:r>
    </w:p>
    <w:p w:rsidR="001020AD" w:rsidRPr="001020AD" w:rsidRDefault="00617F72" w:rsidP="0061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F72">
        <w:rPr>
          <w:rFonts w:ascii="Times New Roman" w:hAnsi="Times New Roman" w:cs="Times New Roman"/>
          <w:b/>
          <w:sz w:val="24"/>
          <w:szCs w:val="24"/>
        </w:rPr>
        <w:t>FK Líšťany1934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7F72">
        <w:rPr>
          <w:rFonts w:ascii="Times New Roman" w:hAnsi="Times New Roman" w:cs="Times New Roman"/>
          <w:sz w:val="24"/>
          <w:szCs w:val="24"/>
        </w:rPr>
        <w:t>dohoda s FK Líšťany</w:t>
      </w:r>
      <w:r>
        <w:rPr>
          <w:rFonts w:ascii="Times New Roman" w:hAnsi="Times New Roman" w:cs="Times New Roman"/>
          <w:sz w:val="24"/>
          <w:szCs w:val="24"/>
        </w:rPr>
        <w:t xml:space="preserve"> 1934 na výměnu hracího dne s ZD Ročov</w:t>
      </w:r>
    </w:p>
    <w:p w:rsidR="00617F72" w:rsidRDefault="00617F72" w:rsidP="00B41A3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713F0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617F72" w:rsidRDefault="00617F72" w:rsidP="0010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Postoloprty – </w:t>
      </w:r>
      <w:r w:rsidRPr="00617F72">
        <w:rPr>
          <w:rFonts w:ascii="Times New Roman" w:hAnsi="Times New Roman" w:cs="Times New Roman"/>
          <w:sz w:val="24"/>
          <w:szCs w:val="24"/>
        </w:rPr>
        <w:t>změna termínu</w:t>
      </w:r>
    </w:p>
    <w:p w:rsidR="001020AD" w:rsidRDefault="001020AD" w:rsidP="0010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AD">
        <w:rPr>
          <w:rFonts w:ascii="Times New Roman" w:hAnsi="Times New Roman" w:cs="Times New Roman"/>
          <w:b/>
          <w:sz w:val="24"/>
          <w:szCs w:val="24"/>
        </w:rPr>
        <w:t>FK Chlumčany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1020AD" w:rsidRDefault="001020AD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790" w:rsidRDefault="00DD5790" w:rsidP="00DD579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424…</w:t>
      </w:r>
    </w:p>
    <w:p w:rsidR="00DD5790" w:rsidRPr="00DD5790" w:rsidRDefault="00DD5790" w:rsidP="00BA50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5790">
        <w:rPr>
          <w:rFonts w:ascii="Times New Roman" w:hAnsi="Times New Roman" w:cs="Times New Roman"/>
          <w:sz w:val="24"/>
          <w:szCs w:val="24"/>
        </w:rPr>
        <w:t>A2A0601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90">
        <w:rPr>
          <w:rFonts w:ascii="Times New Roman" w:hAnsi="Times New Roman" w:cs="Times New Roman"/>
          <w:b/>
          <w:sz w:val="24"/>
          <w:szCs w:val="24"/>
        </w:rPr>
        <w:t>FK Chlumčany B</w:t>
      </w:r>
      <w:r>
        <w:rPr>
          <w:rFonts w:ascii="Times New Roman" w:hAnsi="Times New Roman" w:cs="Times New Roman"/>
          <w:sz w:val="24"/>
          <w:szCs w:val="24"/>
        </w:rPr>
        <w:t xml:space="preserve"> – Sok. Holedeč so </w:t>
      </w:r>
      <w:proofErr w:type="gramStart"/>
      <w:r>
        <w:rPr>
          <w:rFonts w:ascii="Times New Roman" w:hAnsi="Times New Roman" w:cs="Times New Roman"/>
          <w:sz w:val="24"/>
          <w:szCs w:val="24"/>
        </w:rPr>
        <w:t>26.9.2020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13:00 hod.</w:t>
      </w:r>
    </w:p>
    <w:p w:rsidR="008955EC" w:rsidRPr="00AC44D4" w:rsidRDefault="008955EC" w:rsidP="0029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AC44D4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617F7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617F72" w:rsidRPr="00617F72" w:rsidRDefault="00945975" w:rsidP="005A779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5975">
        <w:rPr>
          <w:rFonts w:ascii="Times New Roman" w:hAnsi="Times New Roman" w:cs="Times New Roman"/>
          <w:b/>
          <w:sz w:val="24"/>
          <w:szCs w:val="24"/>
        </w:rPr>
        <w:t>SK Cítoliby</w:t>
      </w:r>
      <w:r>
        <w:rPr>
          <w:rFonts w:ascii="Times New Roman" w:hAnsi="Times New Roman" w:cs="Times New Roman"/>
          <w:sz w:val="24"/>
          <w:szCs w:val="24"/>
        </w:rPr>
        <w:t xml:space="preserve"> na utkání </w:t>
      </w:r>
      <w:r w:rsidR="00617F72" w:rsidRPr="00617F72">
        <w:rPr>
          <w:rFonts w:ascii="Times New Roman" w:hAnsi="Times New Roman" w:cs="Times New Roman"/>
          <w:sz w:val="24"/>
          <w:szCs w:val="24"/>
        </w:rPr>
        <w:t>2020424A1A0602  SK Cítoliby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5975">
        <w:rPr>
          <w:rFonts w:ascii="Times New Roman" w:hAnsi="Times New Roman" w:cs="Times New Roman"/>
          <w:sz w:val="24"/>
          <w:szCs w:val="24"/>
        </w:rPr>
        <w:t>FK Postoloprty</w:t>
      </w:r>
      <w:r w:rsidR="00617F72" w:rsidRPr="00617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7F72" w:rsidRPr="00617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F72" w:rsidRPr="00617F72">
        <w:rPr>
          <w:rFonts w:ascii="Times New Roman" w:hAnsi="Times New Roman" w:cs="Times New Roman"/>
          <w:sz w:val="24"/>
          <w:szCs w:val="24"/>
        </w:rPr>
        <w:t>26.9.2020</w:t>
      </w:r>
      <w:proofErr w:type="gramEnd"/>
      <w:r w:rsidR="00617F72" w:rsidRPr="00617F72">
        <w:rPr>
          <w:rFonts w:ascii="Times New Roman" w:hAnsi="Times New Roman" w:cs="Times New Roman"/>
          <w:sz w:val="24"/>
          <w:szCs w:val="24"/>
        </w:rPr>
        <w:t xml:space="preserve"> od 13:00 hod.</w:t>
      </w:r>
    </w:p>
    <w:p w:rsidR="0051476C" w:rsidRDefault="005A779A" w:rsidP="0051476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Předložení místopřísežného prohlášení o lékařských prohlídkách hráčů:</w:t>
      </w:r>
    </w:p>
    <w:p w:rsidR="0051476C" w:rsidRPr="0051476C" w:rsidRDefault="005A779A" w:rsidP="00141B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Prohlášení nedodaly kluby: SK Černčice, Sokol Chožov, Sok. Pan. Týnec, FK Peruc, Tn </w:t>
      </w:r>
      <w:proofErr w:type="gramStart"/>
      <w:r>
        <w:rPr>
          <w:rFonts w:ascii="Times New Roman" w:hAnsi="Times New Roman" w:cs="Times New Roman"/>
          <w:sz w:val="24"/>
          <w:szCs w:val="24"/>
        </w:rPr>
        <w:t>Podbořany,  TJ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Žiželice, FK Vroutek, FK Hlubany, SK Hříškov</w:t>
      </w:r>
      <w:r w:rsidR="00582849">
        <w:rPr>
          <w:rFonts w:ascii="Times New Roman" w:hAnsi="Times New Roman" w:cs="Times New Roman"/>
          <w:sz w:val="24"/>
          <w:szCs w:val="24"/>
        </w:rPr>
        <w:t>.</w:t>
      </w:r>
    </w:p>
    <w:p w:rsidR="00C713F0" w:rsidRPr="00AC44D4" w:rsidRDefault="00645117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.</w:t>
      </w:r>
      <w:r w:rsidR="00C713F0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1FA" w:rsidRPr="00141B71" w:rsidRDefault="006D3615" w:rsidP="00F672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141B71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141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34" w:rsidRPr="00141B71" w:rsidRDefault="00FD6134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B71">
        <w:rPr>
          <w:rFonts w:ascii="Times New Roman" w:hAnsi="Times New Roman" w:cs="Times New Roman"/>
          <w:color w:val="000000"/>
          <w:sz w:val="24"/>
          <w:szCs w:val="24"/>
        </w:rPr>
        <w:t>STK bere na vědomí změny termínů nebo výkopů mistrovských utkání vložených prostřednictvím hromad</w:t>
      </w:r>
      <w:r w:rsidR="00C61A85" w:rsidRPr="00141B7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41B71">
        <w:rPr>
          <w:rFonts w:ascii="Times New Roman" w:hAnsi="Times New Roman" w:cs="Times New Roman"/>
          <w:color w:val="000000"/>
          <w:sz w:val="24"/>
          <w:szCs w:val="24"/>
        </w:rPr>
        <w:t xml:space="preserve">é hlášenky do IS. Ty </w:t>
      </w:r>
      <w:r w:rsidR="005A779A" w:rsidRPr="00141B71">
        <w:rPr>
          <w:rFonts w:ascii="Times New Roman" w:hAnsi="Times New Roman" w:cs="Times New Roman"/>
          <w:color w:val="000000"/>
          <w:sz w:val="24"/>
          <w:szCs w:val="24"/>
        </w:rPr>
        <w:t xml:space="preserve">byly pro soutěže dospělých uzavřeny </w:t>
      </w:r>
      <w:proofErr w:type="gramStart"/>
      <w:r w:rsidR="005A779A" w:rsidRPr="00141B71">
        <w:rPr>
          <w:rFonts w:ascii="Times New Roman" w:hAnsi="Times New Roman" w:cs="Times New Roman"/>
          <w:color w:val="000000"/>
          <w:sz w:val="24"/>
          <w:szCs w:val="24"/>
        </w:rPr>
        <w:t>5.8</w:t>
      </w:r>
      <w:r w:rsidRPr="00141B71">
        <w:rPr>
          <w:rFonts w:ascii="Times New Roman" w:hAnsi="Times New Roman" w:cs="Times New Roman"/>
          <w:color w:val="000000"/>
          <w:sz w:val="24"/>
          <w:szCs w:val="24"/>
        </w:rPr>
        <w:t>.2020</w:t>
      </w:r>
      <w:proofErr w:type="gramEnd"/>
      <w:r w:rsidR="005A779A" w:rsidRPr="00141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1B7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5A779A" w:rsidRPr="00141B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1B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779A" w:rsidRPr="00141B7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41B71">
        <w:rPr>
          <w:rFonts w:ascii="Times New Roman" w:hAnsi="Times New Roman" w:cs="Times New Roman"/>
          <w:color w:val="000000"/>
          <w:sz w:val="24"/>
          <w:szCs w:val="24"/>
        </w:rPr>
        <w:t xml:space="preserve">.2020 pro </w:t>
      </w:r>
      <w:r w:rsidR="005A779A" w:rsidRPr="00141B71">
        <w:rPr>
          <w:rFonts w:ascii="Times New Roman" w:hAnsi="Times New Roman" w:cs="Times New Roman"/>
          <w:color w:val="000000"/>
          <w:sz w:val="24"/>
          <w:szCs w:val="24"/>
        </w:rPr>
        <w:t xml:space="preserve">SOP starších žáků. </w:t>
      </w:r>
      <w:r w:rsidR="00C61A85" w:rsidRPr="00141B71">
        <w:rPr>
          <w:rFonts w:ascii="Times New Roman" w:hAnsi="Times New Roman" w:cs="Times New Roman"/>
          <w:color w:val="000000"/>
          <w:sz w:val="24"/>
          <w:szCs w:val="24"/>
        </w:rPr>
        <w:t xml:space="preserve"> Po těchto </w:t>
      </w:r>
      <w:proofErr w:type="gramStart"/>
      <w:r w:rsidR="00C61A85" w:rsidRPr="00141B71">
        <w:rPr>
          <w:rFonts w:ascii="Times New Roman" w:hAnsi="Times New Roman" w:cs="Times New Roman"/>
          <w:color w:val="000000"/>
          <w:sz w:val="24"/>
          <w:szCs w:val="24"/>
        </w:rPr>
        <w:t xml:space="preserve">termínech  </w:t>
      </w:r>
      <w:r w:rsidR="009F1AD9" w:rsidRPr="00141B71">
        <w:rPr>
          <w:rFonts w:ascii="Times New Roman" w:hAnsi="Times New Roman" w:cs="Times New Roman"/>
          <w:color w:val="000000"/>
          <w:sz w:val="24"/>
          <w:szCs w:val="24"/>
        </w:rPr>
        <w:t>lze</w:t>
      </w:r>
      <w:proofErr w:type="gramEnd"/>
      <w:r w:rsidR="009F1AD9" w:rsidRPr="00141B71">
        <w:rPr>
          <w:rFonts w:ascii="Times New Roman" w:hAnsi="Times New Roman" w:cs="Times New Roman"/>
          <w:color w:val="000000"/>
          <w:sz w:val="24"/>
          <w:szCs w:val="24"/>
        </w:rPr>
        <w:t xml:space="preserve"> měnit termín nebo začátek utkání prostřednictvím IS</w:t>
      </w:r>
      <w:r w:rsidR="00C61A85" w:rsidRPr="00141B71">
        <w:rPr>
          <w:rFonts w:ascii="Times New Roman" w:hAnsi="Times New Roman" w:cs="Times New Roman"/>
          <w:color w:val="000000"/>
          <w:sz w:val="24"/>
          <w:szCs w:val="24"/>
        </w:rPr>
        <w:t xml:space="preserve"> již jen přes žádost o změnu a budou zpoplatněny dle RMS.</w:t>
      </w:r>
    </w:p>
    <w:p w:rsidR="002C0BDC" w:rsidRPr="00141B71" w:rsidRDefault="002C0BDC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B71">
        <w:rPr>
          <w:rFonts w:ascii="Times New Roman" w:hAnsi="Times New Roman" w:cs="Times New Roman"/>
          <w:color w:val="000000"/>
          <w:sz w:val="24"/>
          <w:szCs w:val="24"/>
        </w:rPr>
        <w:t>STK neschválila výkopy utkání SK Černčice B, které byly přeloženy z neděle na sobotu. Tato utkání musí mít výkopy o 3:30 hod. dříve než OP dospělých. Změny termínů byly vzaty na vědomí, ale výkopy byly upraveny dle RMS.</w:t>
      </w:r>
      <w:r w:rsidR="004263F8" w:rsidRPr="00141B71">
        <w:rPr>
          <w:rFonts w:ascii="Times New Roman" w:hAnsi="Times New Roman" w:cs="Times New Roman"/>
          <w:color w:val="000000"/>
          <w:sz w:val="24"/>
          <w:szCs w:val="24"/>
        </w:rPr>
        <w:t xml:space="preserve"> Pokud klub nechce hrát v sobotu o 3:30 hod. dříve, musí se vrátit na neděli.</w:t>
      </w:r>
    </w:p>
    <w:p w:rsidR="00DE73E7" w:rsidRPr="00141B71" w:rsidRDefault="00DE73E7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B71">
        <w:rPr>
          <w:rFonts w:ascii="Times New Roman" w:hAnsi="Times New Roman" w:cs="Times New Roman"/>
          <w:sz w:val="24"/>
          <w:szCs w:val="24"/>
        </w:rPr>
        <w:t xml:space="preserve">Po dohodě s KR OFS STK souhlasí s výměnou hracího dne ze zachováním úředního </w:t>
      </w:r>
      <w:proofErr w:type="gramStart"/>
      <w:r w:rsidRPr="00141B71">
        <w:rPr>
          <w:rFonts w:ascii="Times New Roman" w:hAnsi="Times New Roman" w:cs="Times New Roman"/>
          <w:sz w:val="24"/>
          <w:szCs w:val="24"/>
        </w:rPr>
        <w:t>výkopu  mezi</w:t>
      </w:r>
      <w:proofErr w:type="gramEnd"/>
      <w:r w:rsidRPr="00141B71">
        <w:rPr>
          <w:rFonts w:ascii="Times New Roman" w:hAnsi="Times New Roman" w:cs="Times New Roman"/>
          <w:sz w:val="24"/>
          <w:szCs w:val="24"/>
        </w:rPr>
        <w:t xml:space="preserve"> družstvy ZD Ročov (3. třída, původní hrací den neděle) a FK Líšťany 1934 (4. třída, původní hrací den sobota). Tzn., že Ročov bude hrát svá utkání na domácím hřišti v sobotu a FK Líšťany 1934 v neděli, začátky utkání budou dle TL OP dospělých.</w:t>
      </w:r>
    </w:p>
    <w:p w:rsidR="00532910" w:rsidRPr="00923A1B" w:rsidRDefault="00532910" w:rsidP="00985D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05DA" w:rsidRPr="00141B71" w:rsidRDefault="00923A1B" w:rsidP="00923A1B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1B7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lastRenderedPageBreak/>
        <w:t xml:space="preserve">Připomenutí klubům ohledně </w:t>
      </w:r>
      <w:r w:rsidR="00582849" w:rsidRPr="00141B7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Pravidla COVID 20-21</w:t>
      </w:r>
      <w:r w:rsidRPr="00141B7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</w:p>
    <w:p w:rsidR="00945975" w:rsidRPr="00141B71" w:rsidRDefault="00582849" w:rsidP="00141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B71">
        <w:rPr>
          <w:rFonts w:ascii="Times New Roman" w:hAnsi="Times New Roman" w:cs="Times New Roman"/>
          <w:sz w:val="24"/>
          <w:szCs w:val="24"/>
        </w:rPr>
        <w:t xml:space="preserve">Prohlášení o bezinfekčnosti, který musí být podepsány před soutěžemi od všech osob, které budou uvedeny v Zápise o utkání a to bezpodmínečně. Za mládežníky- hráče i rozhodčí (osoby mladší 18 let), musí podepsat zákonný zástupce. </w:t>
      </w:r>
    </w:p>
    <w:p w:rsidR="00582849" w:rsidRPr="00141B71" w:rsidRDefault="00582849" w:rsidP="00141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B71">
        <w:rPr>
          <w:rFonts w:ascii="Times New Roman" w:hAnsi="Times New Roman" w:cs="Times New Roman"/>
          <w:sz w:val="24"/>
          <w:szCs w:val="24"/>
        </w:rPr>
        <w:t xml:space="preserve">Prohlášení rozhodčích zajistí příslušný svaz před 1. utkáním každého rozhodčího nebo delegáta a originály uloží na sekretariátu svazu. </w:t>
      </w:r>
    </w:p>
    <w:p w:rsidR="00582849" w:rsidRPr="00141B71" w:rsidRDefault="00582849" w:rsidP="00582849">
      <w:pPr>
        <w:rPr>
          <w:rFonts w:ascii="Times New Roman" w:hAnsi="Times New Roman" w:cs="Times New Roman"/>
          <w:sz w:val="24"/>
          <w:szCs w:val="24"/>
        </w:rPr>
      </w:pPr>
      <w:r w:rsidRPr="00141B71">
        <w:rPr>
          <w:rFonts w:ascii="Times New Roman" w:hAnsi="Times New Roman" w:cs="Times New Roman"/>
          <w:sz w:val="24"/>
          <w:szCs w:val="24"/>
        </w:rPr>
        <w:t xml:space="preserve">Prohlášení hráčů, příslušníků družstev (v případě domácího utkání i </w:t>
      </w:r>
      <w:r w:rsidRPr="00141B71">
        <w:rPr>
          <w:rFonts w:ascii="Times New Roman" w:hAnsi="Times New Roman" w:cs="Times New Roman"/>
          <w:b/>
          <w:bCs/>
          <w:sz w:val="24"/>
          <w:szCs w:val="24"/>
        </w:rPr>
        <w:t>hlavního pořadatele</w:t>
      </w:r>
      <w:r w:rsidRPr="00141B71">
        <w:rPr>
          <w:rFonts w:ascii="Times New Roman" w:hAnsi="Times New Roman" w:cs="Times New Roman"/>
          <w:sz w:val="24"/>
          <w:szCs w:val="24"/>
        </w:rPr>
        <w:t xml:space="preserve">) předloží vedoucí družstev před utkáním ke kontrole rozhodčím, kteří zkontrolují údaje předložených prohlášeních se Zápisem o utkání (kontrola jména, příjmení, ID FAČR). </w:t>
      </w:r>
    </w:p>
    <w:p w:rsidR="00582849" w:rsidRPr="00141B71" w:rsidRDefault="00582849" w:rsidP="00945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B71">
        <w:rPr>
          <w:rFonts w:ascii="Times New Roman" w:hAnsi="Times New Roman" w:cs="Times New Roman"/>
          <w:b/>
          <w:sz w:val="24"/>
          <w:szCs w:val="24"/>
        </w:rPr>
        <w:t xml:space="preserve">Osoba, která nemá </w:t>
      </w:r>
      <w:proofErr w:type="gramStart"/>
      <w:r w:rsidRPr="00141B71">
        <w:rPr>
          <w:rFonts w:ascii="Times New Roman" w:hAnsi="Times New Roman" w:cs="Times New Roman"/>
          <w:b/>
          <w:sz w:val="24"/>
          <w:szCs w:val="24"/>
        </w:rPr>
        <w:t>prohlášení nebo</w:t>
      </w:r>
      <w:proofErr w:type="gramEnd"/>
      <w:r w:rsidRPr="00141B71">
        <w:rPr>
          <w:rFonts w:ascii="Times New Roman" w:hAnsi="Times New Roman" w:cs="Times New Roman"/>
          <w:b/>
          <w:sz w:val="24"/>
          <w:szCs w:val="24"/>
        </w:rPr>
        <w:t xml:space="preserve"> jsou v ní jiné údaje, než v Zápise o utkání nemůže být připuštěna k utkání a tuto skutečnost musí uvést rozhodčí a delegát, pokud je delegován, do své zprávy.</w:t>
      </w:r>
    </w:p>
    <w:p w:rsidR="00582849" w:rsidRPr="00141B71" w:rsidRDefault="00582849" w:rsidP="00582849">
      <w:pPr>
        <w:rPr>
          <w:rFonts w:ascii="Times New Roman" w:hAnsi="Times New Roman" w:cs="Times New Roman"/>
          <w:sz w:val="24"/>
          <w:szCs w:val="24"/>
        </w:rPr>
      </w:pPr>
      <w:r w:rsidRPr="00141B71">
        <w:rPr>
          <w:rFonts w:ascii="Times New Roman" w:hAnsi="Times New Roman" w:cs="Times New Roman"/>
          <w:sz w:val="24"/>
          <w:szCs w:val="24"/>
        </w:rPr>
        <w:t>Prohlášení musí být uložené pro případnou kontrolu 1 rok po posledním utkání SR 2020/2021!!!</w:t>
      </w:r>
    </w:p>
    <w:p w:rsidR="00FF6BFA" w:rsidRPr="00AC44D4" w:rsidRDefault="00FF6BFA" w:rsidP="00923A1B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CB27DE" w:rsidRPr="00CB27DE" w:rsidRDefault="00FF6BFA" w:rsidP="00923A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6F34E1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Pr="00AC44D4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Pr="00AC44D4" w:rsidRDefault="00C33C33" w:rsidP="00C3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582849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</w:p>
    <w:p w:rsidR="00C33C33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AC4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582849" w:rsidRPr="00091802" w:rsidRDefault="00582849" w:rsidP="0009180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802">
        <w:rPr>
          <w:rFonts w:ascii="Times New Roman" w:hAnsi="Times New Roman" w:cs="Times New Roman"/>
          <w:bCs/>
          <w:sz w:val="24"/>
          <w:szCs w:val="24"/>
        </w:rPr>
        <w:t xml:space="preserve">Za nedodržení termínu odeslání prohlášení o zdravotním stavu hráčů se uděluje </w:t>
      </w:r>
      <w:r w:rsidRPr="00091802">
        <w:rPr>
          <w:rFonts w:ascii="Times New Roman" w:hAnsi="Times New Roman" w:cs="Times New Roman"/>
          <w:b/>
          <w:bCs/>
          <w:sz w:val="24"/>
          <w:szCs w:val="24"/>
        </w:rPr>
        <w:t xml:space="preserve">fin. </w:t>
      </w:r>
      <w:proofErr w:type="gramStart"/>
      <w:r w:rsidRPr="00091802">
        <w:rPr>
          <w:rFonts w:ascii="Times New Roman" w:hAnsi="Times New Roman" w:cs="Times New Roman"/>
          <w:b/>
          <w:bCs/>
          <w:sz w:val="24"/>
          <w:szCs w:val="24"/>
        </w:rPr>
        <w:t>pokuta</w:t>
      </w:r>
      <w:proofErr w:type="gramEnd"/>
      <w:r w:rsidRPr="00091802">
        <w:rPr>
          <w:rFonts w:ascii="Times New Roman" w:hAnsi="Times New Roman" w:cs="Times New Roman"/>
          <w:b/>
          <w:bCs/>
          <w:sz w:val="24"/>
          <w:szCs w:val="24"/>
        </w:rPr>
        <w:t xml:space="preserve"> ve výši 200.- Kč,</w:t>
      </w:r>
      <w:r w:rsidRPr="00091802">
        <w:rPr>
          <w:rFonts w:ascii="Times New Roman" w:hAnsi="Times New Roman" w:cs="Times New Roman"/>
          <w:bCs/>
          <w:sz w:val="24"/>
          <w:szCs w:val="24"/>
        </w:rPr>
        <w:t xml:space="preserve"> slovy: dvěstěkorun</w:t>
      </w:r>
      <w:r w:rsidR="005913A9" w:rsidRPr="000918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91802">
        <w:rPr>
          <w:rFonts w:ascii="Times New Roman" w:hAnsi="Times New Roman" w:cs="Times New Roman"/>
          <w:bCs/>
          <w:sz w:val="24"/>
          <w:szCs w:val="24"/>
        </w:rPr>
        <w:t xml:space="preserve"> klubům:</w:t>
      </w:r>
    </w:p>
    <w:p w:rsidR="00842BB9" w:rsidRDefault="00582849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Černčice, Sokol Chožov, Sok. Pan. Týnec, FK Peruc, Tn Podbořany, TJ Žiželice, FK Vroutek, FK Hlubany, SK Hříškov.</w:t>
      </w:r>
    </w:p>
    <w:p w:rsidR="00E90976" w:rsidRPr="00E90976" w:rsidRDefault="00E90976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0976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</w:p>
    <w:p w:rsidR="00842BB9" w:rsidRPr="00091802" w:rsidRDefault="00842BB9" w:rsidP="0009180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02">
        <w:rPr>
          <w:rFonts w:ascii="Times New Roman" w:hAnsi="Times New Roman" w:cs="Times New Roman"/>
          <w:sz w:val="24"/>
          <w:szCs w:val="24"/>
        </w:rPr>
        <w:t xml:space="preserve">Za RMS 2020 / 2021 byla do sběrné faktury zaúčtovaná finanční náhrada ve výši </w:t>
      </w:r>
      <w:proofErr w:type="gramStart"/>
      <w:r w:rsidRPr="00091802">
        <w:rPr>
          <w:rFonts w:ascii="Times New Roman" w:hAnsi="Times New Roman" w:cs="Times New Roman"/>
          <w:sz w:val="24"/>
          <w:szCs w:val="24"/>
        </w:rPr>
        <w:t>90.- Kč</w:t>
      </w:r>
      <w:proofErr w:type="gramEnd"/>
      <w:r w:rsidRPr="00091802">
        <w:rPr>
          <w:rFonts w:ascii="Times New Roman" w:hAnsi="Times New Roman" w:cs="Times New Roman"/>
          <w:sz w:val="24"/>
          <w:szCs w:val="24"/>
        </w:rPr>
        <w:t xml:space="preserve"> za 1 brožuru klubům:</w:t>
      </w:r>
    </w:p>
    <w:p w:rsidR="00842BB9" w:rsidRPr="00582849" w:rsidRDefault="00044B2F" w:rsidP="00AD5C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Sokol Bezděkov </w:t>
      </w:r>
      <w:proofErr w:type="gramStart"/>
      <w:r>
        <w:rPr>
          <w:rFonts w:ascii="Times New Roman" w:hAnsi="Times New Roman" w:cs="Times New Roman"/>
          <w:sz w:val="24"/>
          <w:szCs w:val="24"/>
        </w:rPr>
        <w:t>90.- Kč</w:t>
      </w:r>
      <w:proofErr w:type="gramEnd"/>
      <w:r>
        <w:rPr>
          <w:rFonts w:ascii="Times New Roman" w:hAnsi="Times New Roman" w:cs="Times New Roman"/>
          <w:sz w:val="24"/>
          <w:szCs w:val="24"/>
        </w:rPr>
        <w:t>, B</w:t>
      </w:r>
      <w:r w:rsidR="00AD5C3C">
        <w:rPr>
          <w:rFonts w:ascii="Times New Roman" w:hAnsi="Times New Roman" w:cs="Times New Roman"/>
          <w:sz w:val="24"/>
          <w:szCs w:val="24"/>
        </w:rPr>
        <w:t xml:space="preserve">aník Buškovice 90.-, SK Cítoliby 180.-, SK Černčice 90.-, FK Dobroměřice 90.-, Sokol Holedeč 270.-, SK Hříškov 90.-, FK Chlumčany 180.-, Sokol Chožov 90.-, Sokol Koštice 90.-, TJ Kr. Dvůr </w:t>
      </w:r>
      <w:proofErr w:type="gramStart"/>
      <w:r w:rsidR="00AD5C3C">
        <w:rPr>
          <w:rFonts w:ascii="Times New Roman" w:hAnsi="Times New Roman" w:cs="Times New Roman"/>
          <w:sz w:val="24"/>
          <w:szCs w:val="24"/>
        </w:rPr>
        <w:t>90.-, Havran</w:t>
      </w:r>
      <w:proofErr w:type="gramEnd"/>
      <w:r w:rsidR="00AD5C3C">
        <w:rPr>
          <w:rFonts w:ascii="Times New Roman" w:hAnsi="Times New Roman" w:cs="Times New Roman"/>
          <w:sz w:val="24"/>
          <w:szCs w:val="24"/>
        </w:rPr>
        <w:t xml:space="preserve"> Kryry 90.-, Sokol Lenešice 90.-, AC Libčeves 90.-, FK Líšťany 1934 90.-, Spartak Lubenec 90.-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5C3C">
        <w:rPr>
          <w:rFonts w:ascii="Times New Roman" w:hAnsi="Times New Roman" w:cs="Times New Roman"/>
          <w:sz w:val="24"/>
          <w:szCs w:val="24"/>
        </w:rPr>
        <w:t xml:space="preserve"> Sokol Měcholupy 180.-, TJ Nepomyšl 90.-, Sokol P. Týnec 90.-, Sokol Pátek 90.-, FK Peruc 90.-, FK Postoloprty 90.-,  ZD Ročov 90.-, SK Slavětín 180.-, FK Staňkovice 90.-, Sokol Tuchořice 90.-, Sokol Lipenec 180.-, TJ Vrbno 90.-, FK Kozly 90.-, Ohře Lišany 90.-, TJ Žiželice 90.-, FK Vroutek 9</w:t>
      </w:r>
      <w:r>
        <w:rPr>
          <w:rFonts w:ascii="Times New Roman" w:hAnsi="Times New Roman" w:cs="Times New Roman"/>
          <w:sz w:val="24"/>
          <w:szCs w:val="24"/>
        </w:rPr>
        <w:t>0</w:t>
      </w:r>
      <w:r w:rsidR="00AD5C3C">
        <w:rPr>
          <w:rFonts w:ascii="Times New Roman" w:hAnsi="Times New Roman" w:cs="Times New Roman"/>
          <w:sz w:val="24"/>
          <w:szCs w:val="24"/>
        </w:rPr>
        <w:t xml:space="preserve">.-,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C3C">
        <w:rPr>
          <w:rFonts w:ascii="Times New Roman" w:hAnsi="Times New Roman" w:cs="Times New Roman"/>
          <w:sz w:val="24"/>
          <w:szCs w:val="24"/>
        </w:rPr>
        <w:t>SEKO Louny 90.-, FK Výškov 90.-, FK Hlubany 90.-.</w:t>
      </w:r>
    </w:p>
    <w:p w:rsidR="00FF6BFA" w:rsidRPr="00AC44D4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AC44D4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Pr="00AC44D4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4x ŽK – 100 Kč: </w:t>
      </w:r>
    </w:p>
    <w:p w:rsidR="00D83D33" w:rsidRPr="00AC44D4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   </w:t>
      </w:r>
      <w:r w:rsidR="00FF6BFA"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  <w:b/>
        </w:rPr>
        <w:t>5x ŽK – 200 Kč</w:t>
      </w:r>
      <w:r w:rsidRPr="00AC44D4">
        <w:rPr>
          <w:rFonts w:ascii="Times New Roman" w:hAnsi="Times New Roman" w:cs="Times New Roman"/>
        </w:rPr>
        <w:t xml:space="preserve">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6x ŽK – 300 Kč: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7x a více ŽK – 400 Kč: </w:t>
      </w:r>
    </w:p>
    <w:p w:rsidR="00FF6BFA" w:rsidRPr="00AC44D4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Poplatky za změny termínů</w:t>
      </w:r>
      <w:r w:rsidR="00F3780C">
        <w:rPr>
          <w:rFonts w:ascii="Times New Roman" w:hAnsi="Times New Roman" w:cs="Times New Roman"/>
          <w:b/>
          <w:color w:val="0000FF"/>
        </w:rPr>
        <w:t xml:space="preserve"> (RMS kap. I</w:t>
      </w:r>
      <w:r w:rsidR="00205BF4">
        <w:rPr>
          <w:rFonts w:ascii="Times New Roman" w:hAnsi="Times New Roman" w:cs="Times New Roman"/>
          <w:b/>
          <w:color w:val="0000FF"/>
        </w:rPr>
        <w:t>/</w:t>
      </w:r>
      <w:r w:rsidR="00F3780C">
        <w:rPr>
          <w:rFonts w:ascii="Times New Roman" w:hAnsi="Times New Roman" w:cs="Times New Roman"/>
          <w:b/>
          <w:color w:val="0000FF"/>
        </w:rPr>
        <w:t xml:space="preserve"> </w:t>
      </w:r>
      <w:r w:rsidR="00205BF4">
        <w:rPr>
          <w:rFonts w:ascii="Times New Roman" w:hAnsi="Times New Roman" w:cs="Times New Roman"/>
          <w:b/>
          <w:color w:val="0000FF"/>
        </w:rPr>
        <w:t>V</w:t>
      </w:r>
      <w:r w:rsidR="00F3780C">
        <w:rPr>
          <w:rFonts w:ascii="Times New Roman" w:hAnsi="Times New Roman" w:cs="Times New Roman"/>
          <w:b/>
          <w:color w:val="0000FF"/>
        </w:rPr>
        <w:t xml:space="preserve">šeobecná </w:t>
      </w:r>
      <w:proofErr w:type="spellStart"/>
      <w:r w:rsidR="00F3780C">
        <w:rPr>
          <w:rFonts w:ascii="Times New Roman" w:hAnsi="Times New Roman" w:cs="Times New Roman"/>
          <w:b/>
          <w:color w:val="0000FF"/>
        </w:rPr>
        <w:t>ustanocení</w:t>
      </w:r>
      <w:proofErr w:type="spellEnd"/>
      <w:r w:rsidR="00F3780C">
        <w:rPr>
          <w:rFonts w:ascii="Times New Roman" w:hAnsi="Times New Roman" w:cs="Times New Roman"/>
          <w:b/>
          <w:color w:val="0000FF"/>
        </w:rPr>
        <w:t>, odst. c) :</w:t>
      </w:r>
    </w:p>
    <w:p w:rsidR="001020AD" w:rsidRDefault="001020AD" w:rsidP="00FF6BF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1020AD">
        <w:rPr>
          <w:rFonts w:ascii="Times New Roman" w:hAnsi="Times New Roman" w:cs="Times New Roman"/>
          <w:b/>
          <w:color w:val="auto"/>
        </w:rPr>
        <w:t xml:space="preserve">FK Chlumčany – </w:t>
      </w:r>
      <w:proofErr w:type="gramStart"/>
      <w:r w:rsidRPr="001020AD">
        <w:rPr>
          <w:rFonts w:ascii="Times New Roman" w:hAnsi="Times New Roman" w:cs="Times New Roman"/>
          <w:color w:val="auto"/>
        </w:rPr>
        <w:t>300.- Kč</w:t>
      </w:r>
      <w:proofErr w:type="gramEnd"/>
    </w:p>
    <w:p w:rsidR="002D6E5F" w:rsidRPr="00AC44D4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bookmarkStart w:id="0" w:name="_GoBack"/>
      <w:bookmarkEnd w:id="0"/>
      <w:r w:rsidRPr="00AC44D4">
        <w:rPr>
          <w:rFonts w:ascii="Times New Roman" w:hAnsi="Times New Roman" w:cs="Times New Roman"/>
          <w:b/>
          <w:color w:val="0000FF"/>
        </w:rPr>
        <w:lastRenderedPageBreak/>
        <w:t>Poplatek za podání protestu: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AC44D4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913A9" w:rsidRDefault="00FE2CF6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A26927"/>
    <w:multiLevelType w:val="hybridMultilevel"/>
    <w:tmpl w:val="7B469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E4F51"/>
    <w:multiLevelType w:val="hybridMultilevel"/>
    <w:tmpl w:val="16869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29"/>
  </w:num>
  <w:num w:numId="5">
    <w:abstractNumId w:val="1"/>
  </w:num>
  <w:num w:numId="6">
    <w:abstractNumId w:val="20"/>
  </w:num>
  <w:num w:numId="7">
    <w:abstractNumId w:val="0"/>
  </w:num>
  <w:num w:numId="8">
    <w:abstractNumId w:val="24"/>
  </w:num>
  <w:num w:numId="9">
    <w:abstractNumId w:val="5"/>
  </w:num>
  <w:num w:numId="10">
    <w:abstractNumId w:val="25"/>
  </w:num>
  <w:num w:numId="11">
    <w:abstractNumId w:val="14"/>
  </w:num>
  <w:num w:numId="12">
    <w:abstractNumId w:val="6"/>
  </w:num>
  <w:num w:numId="13">
    <w:abstractNumId w:val="21"/>
  </w:num>
  <w:num w:numId="14">
    <w:abstractNumId w:val="32"/>
  </w:num>
  <w:num w:numId="15">
    <w:abstractNumId w:val="4"/>
  </w:num>
  <w:num w:numId="16">
    <w:abstractNumId w:val="9"/>
  </w:num>
  <w:num w:numId="17">
    <w:abstractNumId w:val="22"/>
  </w:num>
  <w:num w:numId="18">
    <w:abstractNumId w:val="30"/>
  </w:num>
  <w:num w:numId="19">
    <w:abstractNumId w:val="26"/>
  </w:num>
  <w:num w:numId="20">
    <w:abstractNumId w:val="2"/>
  </w:num>
  <w:num w:numId="21">
    <w:abstractNumId w:val="13"/>
  </w:num>
  <w:num w:numId="22">
    <w:abstractNumId w:val="11"/>
  </w:num>
  <w:num w:numId="23">
    <w:abstractNumId w:val="16"/>
  </w:num>
  <w:num w:numId="24">
    <w:abstractNumId w:val="28"/>
  </w:num>
  <w:num w:numId="25">
    <w:abstractNumId w:val="27"/>
  </w:num>
  <w:num w:numId="26">
    <w:abstractNumId w:val="8"/>
  </w:num>
  <w:num w:numId="27">
    <w:abstractNumId w:val="19"/>
  </w:num>
  <w:num w:numId="28">
    <w:abstractNumId w:val="12"/>
  </w:num>
  <w:num w:numId="29">
    <w:abstractNumId w:val="3"/>
  </w:num>
  <w:num w:numId="30">
    <w:abstractNumId w:val="18"/>
  </w:num>
  <w:num w:numId="31">
    <w:abstractNumId w:val="10"/>
  </w:num>
  <w:num w:numId="32">
    <w:abstractNumId w:val="7"/>
  </w:num>
  <w:num w:numId="3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272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0758"/>
    <w:rsid w:val="00022EA3"/>
    <w:rsid w:val="00023098"/>
    <w:rsid w:val="00025C26"/>
    <w:rsid w:val="000262CC"/>
    <w:rsid w:val="000263A2"/>
    <w:rsid w:val="0002765A"/>
    <w:rsid w:val="00027C96"/>
    <w:rsid w:val="00033760"/>
    <w:rsid w:val="00035AE0"/>
    <w:rsid w:val="0003750B"/>
    <w:rsid w:val="00043610"/>
    <w:rsid w:val="00044B2F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180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20AD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37DBF"/>
    <w:rsid w:val="001417E1"/>
    <w:rsid w:val="00141B7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266B"/>
    <w:rsid w:val="00183592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49EA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10B0A"/>
    <w:rsid w:val="002135E9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422C6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81188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7001"/>
    <w:rsid w:val="002A72C2"/>
    <w:rsid w:val="002A7E12"/>
    <w:rsid w:val="002B0999"/>
    <w:rsid w:val="002B34DE"/>
    <w:rsid w:val="002B621C"/>
    <w:rsid w:val="002B757C"/>
    <w:rsid w:val="002C058A"/>
    <w:rsid w:val="002C0BDC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403E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07E3C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4C98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1999"/>
    <w:rsid w:val="003A205C"/>
    <w:rsid w:val="003A7089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6773"/>
    <w:rsid w:val="003D7442"/>
    <w:rsid w:val="003D74F1"/>
    <w:rsid w:val="003E0A2F"/>
    <w:rsid w:val="003E64F5"/>
    <w:rsid w:val="003E7BE3"/>
    <w:rsid w:val="003F1760"/>
    <w:rsid w:val="003F2AB7"/>
    <w:rsid w:val="003F5838"/>
    <w:rsid w:val="003F7CD9"/>
    <w:rsid w:val="003F7D65"/>
    <w:rsid w:val="003F7E6B"/>
    <w:rsid w:val="004019C1"/>
    <w:rsid w:val="00405812"/>
    <w:rsid w:val="004146B4"/>
    <w:rsid w:val="004154F6"/>
    <w:rsid w:val="00424424"/>
    <w:rsid w:val="004263F8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56DA4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7640"/>
    <w:rsid w:val="0049065D"/>
    <w:rsid w:val="00493C0B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B0C"/>
    <w:rsid w:val="004F5E5F"/>
    <w:rsid w:val="00502B38"/>
    <w:rsid w:val="00502D78"/>
    <w:rsid w:val="0050525E"/>
    <w:rsid w:val="00505690"/>
    <w:rsid w:val="00505E36"/>
    <w:rsid w:val="00512884"/>
    <w:rsid w:val="00513384"/>
    <w:rsid w:val="0051424B"/>
    <w:rsid w:val="0051476C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356F"/>
    <w:rsid w:val="00544E57"/>
    <w:rsid w:val="00545326"/>
    <w:rsid w:val="00545A16"/>
    <w:rsid w:val="0055177D"/>
    <w:rsid w:val="00554D05"/>
    <w:rsid w:val="00556332"/>
    <w:rsid w:val="005606CB"/>
    <w:rsid w:val="00563CFC"/>
    <w:rsid w:val="0056434C"/>
    <w:rsid w:val="00564890"/>
    <w:rsid w:val="00565270"/>
    <w:rsid w:val="00566843"/>
    <w:rsid w:val="00570222"/>
    <w:rsid w:val="0057093B"/>
    <w:rsid w:val="005717C2"/>
    <w:rsid w:val="00571CF1"/>
    <w:rsid w:val="005720BA"/>
    <w:rsid w:val="00573B6F"/>
    <w:rsid w:val="00574035"/>
    <w:rsid w:val="00575F93"/>
    <w:rsid w:val="00576AE2"/>
    <w:rsid w:val="00580C0E"/>
    <w:rsid w:val="00582849"/>
    <w:rsid w:val="00583DC7"/>
    <w:rsid w:val="00584041"/>
    <w:rsid w:val="0058469E"/>
    <w:rsid w:val="00590A2D"/>
    <w:rsid w:val="005913A9"/>
    <w:rsid w:val="00591E3C"/>
    <w:rsid w:val="00592067"/>
    <w:rsid w:val="00595944"/>
    <w:rsid w:val="00597DB3"/>
    <w:rsid w:val="005A31AB"/>
    <w:rsid w:val="005A3CCF"/>
    <w:rsid w:val="005A3E92"/>
    <w:rsid w:val="005A611B"/>
    <w:rsid w:val="005A779A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20AE"/>
    <w:rsid w:val="005F2DC4"/>
    <w:rsid w:val="005F4691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17F72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17D8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46B8"/>
    <w:rsid w:val="0071676C"/>
    <w:rsid w:val="007168D0"/>
    <w:rsid w:val="00716BF5"/>
    <w:rsid w:val="00723763"/>
    <w:rsid w:val="0072433E"/>
    <w:rsid w:val="0072617D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87D3A"/>
    <w:rsid w:val="0079284F"/>
    <w:rsid w:val="00793DB4"/>
    <w:rsid w:val="00794199"/>
    <w:rsid w:val="0079431D"/>
    <w:rsid w:val="00796F6E"/>
    <w:rsid w:val="00797D13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04AF"/>
    <w:rsid w:val="007D2DE1"/>
    <w:rsid w:val="007D4ECF"/>
    <w:rsid w:val="007D56E2"/>
    <w:rsid w:val="007D5978"/>
    <w:rsid w:val="007D6005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58C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2BB9"/>
    <w:rsid w:val="008444AF"/>
    <w:rsid w:val="00844837"/>
    <w:rsid w:val="008448FA"/>
    <w:rsid w:val="00845019"/>
    <w:rsid w:val="00847E78"/>
    <w:rsid w:val="0085096F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3484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3A1B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5DC2"/>
    <w:rsid w:val="00937011"/>
    <w:rsid w:val="00942204"/>
    <w:rsid w:val="00942A6A"/>
    <w:rsid w:val="00945975"/>
    <w:rsid w:val="00950C4A"/>
    <w:rsid w:val="009514F4"/>
    <w:rsid w:val="00956B43"/>
    <w:rsid w:val="00957012"/>
    <w:rsid w:val="00957B6B"/>
    <w:rsid w:val="009615F7"/>
    <w:rsid w:val="00965566"/>
    <w:rsid w:val="009667A7"/>
    <w:rsid w:val="00970946"/>
    <w:rsid w:val="009721A1"/>
    <w:rsid w:val="00972F22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96CFE"/>
    <w:rsid w:val="009A1A95"/>
    <w:rsid w:val="009A423C"/>
    <w:rsid w:val="009A4C01"/>
    <w:rsid w:val="009A4CC2"/>
    <w:rsid w:val="009A57CE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C95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04"/>
    <w:rsid w:val="009E1764"/>
    <w:rsid w:val="009E1914"/>
    <w:rsid w:val="009E4983"/>
    <w:rsid w:val="009E6D1E"/>
    <w:rsid w:val="009E7005"/>
    <w:rsid w:val="009F1AD9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B1E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28C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A7E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5C3C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2DC"/>
    <w:rsid w:val="00B2542E"/>
    <w:rsid w:val="00B2638E"/>
    <w:rsid w:val="00B27609"/>
    <w:rsid w:val="00B325F5"/>
    <w:rsid w:val="00B375CB"/>
    <w:rsid w:val="00B41206"/>
    <w:rsid w:val="00B41A33"/>
    <w:rsid w:val="00B43319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5AA5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87C"/>
    <w:rsid w:val="00BB1D54"/>
    <w:rsid w:val="00BB2846"/>
    <w:rsid w:val="00BB34EE"/>
    <w:rsid w:val="00BB397B"/>
    <w:rsid w:val="00BB555B"/>
    <w:rsid w:val="00BB6698"/>
    <w:rsid w:val="00BB76C2"/>
    <w:rsid w:val="00BB772D"/>
    <w:rsid w:val="00BB7842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20D0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2F49"/>
    <w:rsid w:val="00C33C33"/>
    <w:rsid w:val="00C36229"/>
    <w:rsid w:val="00C36AC4"/>
    <w:rsid w:val="00C37461"/>
    <w:rsid w:val="00C37D40"/>
    <w:rsid w:val="00C410A9"/>
    <w:rsid w:val="00C41992"/>
    <w:rsid w:val="00C41EB5"/>
    <w:rsid w:val="00C45EA3"/>
    <w:rsid w:val="00C469B8"/>
    <w:rsid w:val="00C53386"/>
    <w:rsid w:val="00C55979"/>
    <w:rsid w:val="00C578F7"/>
    <w:rsid w:val="00C61017"/>
    <w:rsid w:val="00C61A85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7DE"/>
    <w:rsid w:val="00CB2F5F"/>
    <w:rsid w:val="00CC24EA"/>
    <w:rsid w:val="00CC42F9"/>
    <w:rsid w:val="00CC4E4C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257FE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4C26"/>
    <w:rsid w:val="00DA709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B8F"/>
    <w:rsid w:val="00DC5DB1"/>
    <w:rsid w:val="00DD1B1D"/>
    <w:rsid w:val="00DD2078"/>
    <w:rsid w:val="00DD482B"/>
    <w:rsid w:val="00DD5790"/>
    <w:rsid w:val="00DD5D54"/>
    <w:rsid w:val="00DD657F"/>
    <w:rsid w:val="00DE12A9"/>
    <w:rsid w:val="00DE4DE4"/>
    <w:rsid w:val="00DE646F"/>
    <w:rsid w:val="00DE73E7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10AED"/>
    <w:rsid w:val="00E1336C"/>
    <w:rsid w:val="00E13677"/>
    <w:rsid w:val="00E14A33"/>
    <w:rsid w:val="00E1522B"/>
    <w:rsid w:val="00E16FDA"/>
    <w:rsid w:val="00E1723D"/>
    <w:rsid w:val="00E200D2"/>
    <w:rsid w:val="00E205DA"/>
    <w:rsid w:val="00E20BEF"/>
    <w:rsid w:val="00E20E10"/>
    <w:rsid w:val="00E21FD5"/>
    <w:rsid w:val="00E22E2B"/>
    <w:rsid w:val="00E23314"/>
    <w:rsid w:val="00E234FB"/>
    <w:rsid w:val="00E25833"/>
    <w:rsid w:val="00E30C54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3169"/>
    <w:rsid w:val="00E74AA5"/>
    <w:rsid w:val="00E75041"/>
    <w:rsid w:val="00E765BE"/>
    <w:rsid w:val="00E77B6C"/>
    <w:rsid w:val="00E81F9B"/>
    <w:rsid w:val="00E8239A"/>
    <w:rsid w:val="00E8635B"/>
    <w:rsid w:val="00E86EE4"/>
    <w:rsid w:val="00E87067"/>
    <w:rsid w:val="00E8771F"/>
    <w:rsid w:val="00E90976"/>
    <w:rsid w:val="00E926BF"/>
    <w:rsid w:val="00E946A0"/>
    <w:rsid w:val="00E94AEE"/>
    <w:rsid w:val="00EA0654"/>
    <w:rsid w:val="00EA2DED"/>
    <w:rsid w:val="00EA542D"/>
    <w:rsid w:val="00EA5442"/>
    <w:rsid w:val="00EA667A"/>
    <w:rsid w:val="00EB1E0B"/>
    <w:rsid w:val="00EB4BA0"/>
    <w:rsid w:val="00EB4FD3"/>
    <w:rsid w:val="00EB7465"/>
    <w:rsid w:val="00EC03DB"/>
    <w:rsid w:val="00EC3CE3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D6134"/>
    <w:rsid w:val="00FE2A15"/>
    <w:rsid w:val="00FE2CF6"/>
    <w:rsid w:val="00FE5085"/>
    <w:rsid w:val="00FE5E92"/>
    <w:rsid w:val="00FF0DE9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FCB9-BC63-4A99-9B56-FE3206EB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2</cp:revision>
  <cp:lastPrinted>2020-08-10T08:52:00Z</cp:lastPrinted>
  <dcterms:created xsi:type="dcterms:W3CDTF">2020-08-12T10:20:00Z</dcterms:created>
  <dcterms:modified xsi:type="dcterms:W3CDTF">2020-08-12T10:20:00Z</dcterms:modified>
</cp:coreProperties>
</file>